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AB84C" w14:textId="778772E0" w:rsidR="00B76D31" w:rsidRDefault="00016D76">
      <w:pPr>
        <w:rPr>
          <w:rFonts w:ascii="Times New Roman" w:hAnsi="Times New Roman" w:cs="Times New Roman"/>
          <w:b/>
          <w:bCs/>
        </w:rPr>
      </w:pPr>
      <w:r w:rsidRPr="00016D76">
        <w:rPr>
          <w:rFonts w:ascii="Times New Roman" w:hAnsi="Times New Roman" w:cs="Times New Roman"/>
          <w:b/>
          <w:bCs/>
        </w:rPr>
        <w:t>Supplement</w:t>
      </w:r>
      <w:r w:rsidR="003B6527">
        <w:rPr>
          <w:rFonts w:ascii="Times New Roman" w:hAnsi="Times New Roman" w:cs="Times New Roman" w:hint="eastAsia"/>
          <w:b/>
          <w:bCs/>
          <w:lang w:eastAsia="zh-CN"/>
        </w:rPr>
        <w:t>a</w:t>
      </w:r>
      <w:r w:rsidR="003B6527">
        <w:rPr>
          <w:rFonts w:ascii="Times New Roman" w:hAnsi="Times New Roman" w:cs="Times New Roman"/>
          <w:b/>
          <w:bCs/>
        </w:rPr>
        <w:t>ry</w:t>
      </w:r>
      <w:r w:rsidRPr="003B6527">
        <w:rPr>
          <w:rFonts w:ascii="Times New Roman" w:hAnsi="Times New Roman" w:cs="Times New Roman"/>
          <w:b/>
          <w:bCs/>
        </w:rPr>
        <w:t xml:space="preserve"> Fig</w:t>
      </w:r>
      <w:r w:rsidR="0002342B" w:rsidRPr="003B6527">
        <w:rPr>
          <w:rFonts w:ascii="Times New Roman" w:hAnsi="Times New Roman" w:cs="Times New Roman" w:hint="eastAsia"/>
          <w:b/>
          <w:bCs/>
          <w:lang w:eastAsia="zh-CN"/>
        </w:rPr>
        <w:t>.</w:t>
      </w:r>
      <w:r w:rsidRPr="003B6527">
        <w:rPr>
          <w:rFonts w:ascii="Times New Roman" w:hAnsi="Times New Roman" w:cs="Times New Roman"/>
          <w:b/>
          <w:bCs/>
        </w:rPr>
        <w:t xml:space="preserve"> 1</w:t>
      </w:r>
      <w:r w:rsidR="0002342B" w:rsidRPr="003B6527">
        <w:rPr>
          <w:rFonts w:ascii="Times New Roman" w:hAnsi="Times New Roman" w:cs="Times New Roman"/>
          <w:b/>
          <w:bCs/>
        </w:rPr>
        <w:t>.</w:t>
      </w:r>
      <w:r w:rsidRPr="003B6527">
        <w:rPr>
          <w:rFonts w:ascii="Times New Roman" w:hAnsi="Times New Roman" w:cs="Times New Roman"/>
          <w:b/>
          <w:bCs/>
        </w:rPr>
        <w:t xml:space="preserve"> PRISMA Flow Diagram</w:t>
      </w:r>
      <w:r w:rsidR="0002342B" w:rsidRPr="003B6527">
        <w:rPr>
          <w:rFonts w:ascii="Times New Roman" w:hAnsi="Times New Roman" w:cs="Times New Roman"/>
          <w:b/>
          <w:bCs/>
        </w:rPr>
        <w:t>.</w:t>
      </w:r>
    </w:p>
    <w:p w14:paraId="224EF2E3" w14:textId="77777777" w:rsidR="00240072" w:rsidRPr="003B6527" w:rsidRDefault="00240072">
      <w:pPr>
        <w:rPr>
          <w:rFonts w:ascii="Times New Roman" w:hAnsi="Times New Roman" w:cs="Times New Roman"/>
          <w:b/>
          <w:bCs/>
        </w:rPr>
      </w:pPr>
    </w:p>
    <w:p w14:paraId="3F607455" w14:textId="2116820A" w:rsidR="00016D76" w:rsidRDefault="00484E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DE620EB" wp14:editId="46081BBC">
            <wp:extent cx="5967167" cy="5977850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133" cy="602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31F79" w14:textId="77777777" w:rsidR="00484EAB" w:rsidRDefault="00484EAB">
      <w:pPr>
        <w:rPr>
          <w:rFonts w:ascii="Times New Roman" w:hAnsi="Times New Roman" w:cs="Times New Roman"/>
        </w:rPr>
      </w:pPr>
    </w:p>
    <w:p w14:paraId="693E685C" w14:textId="071E923A" w:rsidR="000875CB" w:rsidRDefault="000875CB">
      <w:pPr>
        <w:rPr>
          <w:rFonts w:ascii="Times New Roman" w:hAnsi="Times New Roman" w:cs="Times New Roman"/>
        </w:rPr>
      </w:pPr>
    </w:p>
    <w:p w14:paraId="33DC2F7C" w14:textId="77777777" w:rsidR="00240072" w:rsidRDefault="00240072" w:rsidP="000875CB">
      <w:pPr>
        <w:pStyle w:val="Heading1"/>
        <w:shd w:val="clear" w:color="auto" w:fill="FFFFFF"/>
        <w:spacing w:before="0" w:after="0"/>
        <w:rPr>
          <w:rFonts w:ascii="Times New Roman" w:hAnsi="Times New Roman" w:cs="Times New Roman"/>
          <w:sz w:val="24"/>
          <w:szCs w:val="24"/>
        </w:rPr>
        <w:sectPr w:rsidR="00240072" w:rsidSect="00F008F2">
          <w:footerReference w:type="even" r:id="rId7"/>
          <w:footerReference w:type="default" r:id="rId8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2DCF383A" w14:textId="329D174D" w:rsidR="000875CB" w:rsidRPr="007C25B2" w:rsidRDefault="000875CB" w:rsidP="000875CB">
      <w:pPr>
        <w:pStyle w:val="Heading1"/>
        <w:shd w:val="clear" w:color="auto" w:fill="FFFFFF"/>
        <w:spacing w:before="0" w:after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C25B2">
        <w:rPr>
          <w:rFonts w:ascii="Times New Roman" w:hAnsi="Times New Roman" w:cs="Times New Roman"/>
          <w:sz w:val="24"/>
          <w:szCs w:val="24"/>
        </w:rPr>
        <w:lastRenderedPageBreak/>
        <w:t>Supplementary Table 1</w:t>
      </w:r>
      <w:r w:rsidR="0002342B">
        <w:rPr>
          <w:rFonts w:ascii="Times New Roman" w:hAnsi="Times New Roman" w:cs="Times New Roman"/>
          <w:sz w:val="24"/>
          <w:szCs w:val="24"/>
        </w:rPr>
        <w:t>.</w:t>
      </w:r>
      <w:r w:rsidRPr="00484EAB">
        <w:rPr>
          <w:rFonts w:ascii="Times New Roman" w:hAnsi="Times New Roman" w:cs="Times New Roman"/>
          <w:sz w:val="24"/>
          <w:szCs w:val="24"/>
        </w:rPr>
        <w:t xml:space="preserve"> </w:t>
      </w:r>
      <w:r w:rsidRPr="00484EAB">
        <w:rPr>
          <w:rFonts w:ascii="Times New Roman" w:hAnsi="Times New Roman" w:cs="Times New Roman"/>
          <w:iCs/>
          <w:sz w:val="24"/>
          <w:szCs w:val="24"/>
        </w:rPr>
        <w:t>The Cochrane Collaboration tool for assessing risk of bias of the included randomized controlled trial</w:t>
      </w:r>
      <w:r w:rsidR="0002342B" w:rsidRPr="00484EAB">
        <w:rPr>
          <w:rFonts w:ascii="Times New Roman" w:hAnsi="Times New Roman" w:cs="Times New Roman"/>
          <w:iCs/>
          <w:sz w:val="24"/>
          <w:szCs w:val="24"/>
        </w:rPr>
        <w:t>.</w:t>
      </w:r>
    </w:p>
    <w:p w14:paraId="1DDC767E" w14:textId="77777777" w:rsidR="000875CB" w:rsidRDefault="000875CB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XSpec="center" w:tblpY="14"/>
        <w:tblW w:w="11610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260"/>
        <w:gridCol w:w="1440"/>
        <w:gridCol w:w="1620"/>
        <w:gridCol w:w="1061"/>
        <w:gridCol w:w="1279"/>
        <w:gridCol w:w="1170"/>
        <w:gridCol w:w="815"/>
        <w:gridCol w:w="1165"/>
      </w:tblGrid>
      <w:tr w:rsidR="00016D76" w:rsidRPr="00C047B3" w14:paraId="617F38A4" w14:textId="77777777" w:rsidTr="00836D77">
        <w:trPr>
          <w:trHeight w:val="332"/>
        </w:trPr>
        <w:tc>
          <w:tcPr>
            <w:tcW w:w="180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7AE3EDA2" w14:textId="77777777" w:rsidR="00016D76" w:rsidRPr="00C047B3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47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First author, year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15205A4A" w14:textId="77777777" w:rsidR="00016D76" w:rsidRPr="00C047B3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47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Selection bias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153474DE" w14:textId="77777777" w:rsidR="00016D76" w:rsidRPr="00C047B3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47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Performance bias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18743407" w14:textId="77777777" w:rsidR="00016D76" w:rsidRPr="00C047B3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47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Detection bias</w:t>
            </w:r>
          </w:p>
        </w:tc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3CFCC00B" w14:textId="77777777" w:rsidR="00016D76" w:rsidRPr="00C047B3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47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Attribution bias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4760351F" w14:textId="77777777" w:rsidR="00016D76" w:rsidRPr="00C047B3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47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Reporting bias</w:t>
            </w:r>
          </w:p>
        </w:tc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EAADB"/>
          </w:tcPr>
          <w:p w14:paraId="50E2B8E8" w14:textId="77777777" w:rsidR="00016D76" w:rsidRDefault="00016D76" w:rsidP="00836D77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4DC8389" w14:textId="77777777" w:rsidR="00016D76" w:rsidRPr="00C047B3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47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Other bias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3AAEDDC9" w14:textId="77777777" w:rsidR="00016D76" w:rsidRPr="00C047B3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47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Overall bias risk</w:t>
            </w:r>
          </w:p>
        </w:tc>
      </w:tr>
      <w:tr w:rsidR="00016D76" w:rsidRPr="00C047B3" w14:paraId="232C68C3" w14:textId="77777777" w:rsidTr="00836D77">
        <w:trPr>
          <w:trHeight w:val="260"/>
        </w:trPr>
        <w:tc>
          <w:tcPr>
            <w:tcW w:w="180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68ACD680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49ADCE0E" w14:textId="77777777" w:rsidR="00016D76" w:rsidRPr="00C047B3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47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Random sequence generation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2BC6DBF5" w14:textId="77777777" w:rsidR="00016D76" w:rsidRPr="00C047B3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47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Allocation concealment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06F11CED" w14:textId="77777777" w:rsidR="00016D76" w:rsidRPr="00C047B3" w:rsidRDefault="00016D76" w:rsidP="00836D77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6AEF582F" w14:textId="77777777" w:rsidR="00016D76" w:rsidRPr="00C047B3" w:rsidRDefault="00016D76" w:rsidP="00836D77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7B16E3BA" w14:textId="77777777" w:rsidR="00016D76" w:rsidRPr="00C047B3" w:rsidRDefault="00016D76" w:rsidP="00836D77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382B6310" w14:textId="77777777" w:rsidR="00016D76" w:rsidRPr="00C047B3" w:rsidRDefault="00016D76" w:rsidP="00836D77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73842677" w14:textId="77777777" w:rsidR="00016D76" w:rsidRPr="00C047B3" w:rsidRDefault="00016D76" w:rsidP="00836D77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  <w:vAlign w:val="center"/>
            <w:hideMark/>
          </w:tcPr>
          <w:p w14:paraId="2FC49247" w14:textId="77777777" w:rsidR="00016D76" w:rsidRPr="00C047B3" w:rsidRDefault="00016D76" w:rsidP="00836D77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16D76" w:rsidRPr="00C047B3" w14:paraId="194220C1" w14:textId="77777777" w:rsidTr="00836D77">
        <w:trPr>
          <w:trHeight w:val="285"/>
        </w:trPr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/>
            <w:noWrap/>
            <w:vAlign w:val="center"/>
            <w:hideMark/>
          </w:tcPr>
          <w:p w14:paraId="79BBD8CD" w14:textId="77777777" w:rsidR="00016D76" w:rsidRPr="007C25B2" w:rsidRDefault="00016D76" w:rsidP="00836D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25B2">
              <w:rPr>
                <w:rFonts w:ascii="Times New Roman" w:hAnsi="Times New Roman" w:cs="Times New Roman"/>
                <w:sz w:val="20"/>
                <w:szCs w:val="20"/>
              </w:rPr>
              <w:t>Ghannam</w:t>
            </w:r>
            <w:proofErr w:type="spellEnd"/>
            <w:r w:rsidRPr="007C25B2">
              <w:rPr>
                <w:rFonts w:ascii="Times New Roman" w:hAnsi="Times New Roman" w:cs="Times New Roman"/>
                <w:sz w:val="20"/>
                <w:szCs w:val="20"/>
              </w:rPr>
              <w:t xml:space="preserve"> et al., 2018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93A1E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75E4C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97BCE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F3A6B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0F7A2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8D6BE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32F81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26B10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</w:tr>
      <w:tr w:rsidR="00016D76" w:rsidRPr="00C047B3" w14:paraId="289F01D1" w14:textId="77777777" w:rsidTr="00836D77">
        <w:trPr>
          <w:trHeight w:val="285"/>
        </w:trPr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/>
            <w:noWrap/>
            <w:vAlign w:val="center"/>
          </w:tcPr>
          <w:p w14:paraId="18EF3AB9" w14:textId="77777777" w:rsidR="00016D76" w:rsidRPr="007C25B2" w:rsidRDefault="00016D76" w:rsidP="00836D7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25B2">
              <w:rPr>
                <w:rFonts w:ascii="Times New Roman" w:hAnsi="Times New Roman" w:cs="Times New Roman"/>
                <w:sz w:val="20"/>
                <w:szCs w:val="20"/>
              </w:rPr>
              <w:t>Rolantova</w:t>
            </w:r>
            <w:proofErr w:type="spellEnd"/>
            <w:r w:rsidRPr="007C25B2">
              <w:rPr>
                <w:rFonts w:ascii="Times New Roman" w:hAnsi="Times New Roman" w:cs="Times New Roman"/>
                <w:sz w:val="20"/>
                <w:szCs w:val="20"/>
              </w:rPr>
              <w:t xml:space="preserve"> et al., 2018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AC7DEF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681289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9C145E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C64B10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3A9AC0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4F8DFF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725BD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3F7CAF" w14:textId="77777777" w:rsidR="00016D76" w:rsidRPr="007C25B2" w:rsidRDefault="00016D76" w:rsidP="00836D77">
            <w:pPr>
              <w:pStyle w:val="NoSpacing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5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Low</w:t>
            </w:r>
          </w:p>
        </w:tc>
      </w:tr>
    </w:tbl>
    <w:p w14:paraId="6E96CCE1" w14:textId="3E8D79E0" w:rsidR="00016D76" w:rsidRDefault="00016D76">
      <w:pPr>
        <w:rPr>
          <w:rFonts w:ascii="Times New Roman" w:hAnsi="Times New Roman" w:cs="Times New Roman"/>
        </w:rPr>
      </w:pPr>
    </w:p>
    <w:p w14:paraId="54895CFE" w14:textId="34C15537" w:rsidR="00016D76" w:rsidRDefault="00016D76">
      <w:pPr>
        <w:rPr>
          <w:rFonts w:ascii="Times New Roman" w:hAnsi="Times New Roman" w:cs="Times New Roman"/>
        </w:rPr>
      </w:pPr>
    </w:p>
    <w:p w14:paraId="77EEE9C1" w14:textId="238A9BF5" w:rsidR="00016D76" w:rsidRDefault="00016D76">
      <w:pPr>
        <w:rPr>
          <w:rFonts w:ascii="Times New Roman" w:hAnsi="Times New Roman" w:cs="Times New Roman"/>
        </w:rPr>
      </w:pPr>
    </w:p>
    <w:p w14:paraId="178DCFD0" w14:textId="366A0ED1" w:rsidR="00016D76" w:rsidRDefault="00016D76">
      <w:pPr>
        <w:rPr>
          <w:rFonts w:ascii="Times New Roman" w:hAnsi="Times New Roman" w:cs="Times New Roman"/>
        </w:rPr>
      </w:pPr>
    </w:p>
    <w:p w14:paraId="1DC740DE" w14:textId="00104F6E" w:rsidR="00016D76" w:rsidRDefault="00016D76">
      <w:pPr>
        <w:rPr>
          <w:rFonts w:ascii="Times New Roman" w:hAnsi="Times New Roman" w:cs="Times New Roman"/>
        </w:rPr>
      </w:pPr>
    </w:p>
    <w:p w14:paraId="0CC3ED14" w14:textId="536AE1FF" w:rsidR="00016D76" w:rsidRDefault="00016D76">
      <w:pPr>
        <w:rPr>
          <w:rFonts w:ascii="Times New Roman" w:hAnsi="Times New Roman" w:cs="Times New Roman"/>
        </w:rPr>
      </w:pPr>
    </w:p>
    <w:p w14:paraId="466CD0F1" w14:textId="579884FE" w:rsidR="00016D76" w:rsidRDefault="00016D76">
      <w:pPr>
        <w:rPr>
          <w:rFonts w:ascii="Times New Roman" w:hAnsi="Times New Roman" w:cs="Times New Roman"/>
        </w:rPr>
      </w:pPr>
    </w:p>
    <w:p w14:paraId="1132DD24" w14:textId="675A71E3" w:rsidR="00016D76" w:rsidRDefault="00016D76">
      <w:pPr>
        <w:rPr>
          <w:rFonts w:ascii="Times New Roman" w:hAnsi="Times New Roman" w:cs="Times New Roman"/>
        </w:rPr>
      </w:pPr>
    </w:p>
    <w:p w14:paraId="4C157C11" w14:textId="595B90C8" w:rsidR="00016D76" w:rsidRDefault="00016D76" w:rsidP="00016D76">
      <w:pPr>
        <w:tabs>
          <w:tab w:val="left" w:pos="8355"/>
        </w:tabs>
        <w:jc w:val="both"/>
        <w:rPr>
          <w:rFonts w:ascii="Times New Roman" w:hAnsi="Times New Roman" w:cs="Times New Roman"/>
          <w:bCs/>
        </w:rPr>
      </w:pPr>
      <w:r w:rsidRPr="00C047B3">
        <w:rPr>
          <w:rFonts w:ascii="Times New Roman" w:hAnsi="Times New Roman" w:cs="Times New Roman"/>
          <w:bCs/>
        </w:rPr>
        <w:t>Cochrane Collaboration tool for assessing risk of bias is used to evaluate the quality of each randomized controlled trial by assigning a score (high, low, or unclear) for each individual element from six domains (selection, performance, detection, attrition, reporting, and other)</w:t>
      </w:r>
    </w:p>
    <w:p w14:paraId="28CE415E" w14:textId="659EF891" w:rsidR="00016D76" w:rsidRDefault="00016D76" w:rsidP="00016D76">
      <w:pPr>
        <w:tabs>
          <w:tab w:val="left" w:pos="8355"/>
        </w:tabs>
        <w:jc w:val="both"/>
        <w:rPr>
          <w:rFonts w:ascii="Times New Roman" w:hAnsi="Times New Roman" w:cs="Times New Roman"/>
          <w:bCs/>
        </w:rPr>
      </w:pPr>
    </w:p>
    <w:p w14:paraId="1EB2D20E" w14:textId="77777777" w:rsidR="00081BC7" w:rsidRDefault="00081BC7" w:rsidP="00016D76">
      <w:pPr>
        <w:tabs>
          <w:tab w:val="left" w:pos="8355"/>
        </w:tabs>
        <w:jc w:val="both"/>
        <w:rPr>
          <w:rFonts w:ascii="Times New Roman" w:hAnsi="Times New Roman" w:cs="Times New Roman"/>
          <w:bCs/>
        </w:rPr>
      </w:pPr>
    </w:p>
    <w:p w14:paraId="09A0793D" w14:textId="6C57C178" w:rsidR="00016D76" w:rsidRDefault="00016D76" w:rsidP="00016D76">
      <w:pPr>
        <w:tabs>
          <w:tab w:val="left" w:pos="8355"/>
        </w:tabs>
        <w:jc w:val="both"/>
        <w:rPr>
          <w:rFonts w:ascii="Times New Roman" w:hAnsi="Times New Roman" w:cs="Times New Roman"/>
          <w:bCs/>
        </w:rPr>
      </w:pPr>
    </w:p>
    <w:p w14:paraId="0A82464B" w14:textId="13DDD598" w:rsidR="00016D76" w:rsidRPr="00C119F4" w:rsidRDefault="00016D76" w:rsidP="00016D76">
      <w:pPr>
        <w:tabs>
          <w:tab w:val="left" w:pos="8355"/>
        </w:tabs>
        <w:rPr>
          <w:rFonts w:ascii="Times New Roman" w:hAnsi="Times New Roman" w:cs="Times New Roman"/>
          <w:color w:val="262626"/>
        </w:rPr>
      </w:pPr>
      <w:r w:rsidRPr="00C119F4">
        <w:rPr>
          <w:rFonts w:ascii="Times New Roman" w:hAnsi="Times New Roman" w:cs="Times New Roman"/>
          <w:b/>
        </w:rPr>
        <w:t>Supplementary Table 2</w:t>
      </w:r>
      <w:r w:rsidR="0002342B">
        <w:rPr>
          <w:rFonts w:ascii="Times New Roman" w:hAnsi="Times New Roman" w:cs="Times New Roman"/>
          <w:bCs/>
        </w:rPr>
        <w:t>.</w:t>
      </w:r>
      <w:r w:rsidRPr="00C119F4">
        <w:rPr>
          <w:rFonts w:ascii="Times New Roman" w:hAnsi="Times New Roman" w:cs="Times New Roman"/>
          <w:bCs/>
        </w:rPr>
        <w:t xml:space="preserve"> </w:t>
      </w:r>
      <w:r w:rsidRPr="00F90267">
        <w:rPr>
          <w:rFonts w:ascii="Times New Roman" w:hAnsi="Times New Roman" w:cs="Times New Roman"/>
          <w:b/>
          <w:bCs/>
        </w:rPr>
        <w:t>Appraisal of clinical trials for bias using Newcastle-Ottawa scale</w:t>
      </w:r>
      <w:r w:rsidR="0002342B" w:rsidRPr="00F90267">
        <w:rPr>
          <w:rFonts w:ascii="Times New Roman" w:hAnsi="Times New Roman" w:cs="Times New Roman"/>
          <w:b/>
          <w:bCs/>
        </w:rPr>
        <w:t>.</w:t>
      </w:r>
    </w:p>
    <w:p w14:paraId="7993DD13" w14:textId="77777777" w:rsidR="00016D76" w:rsidRDefault="00016D76" w:rsidP="00016D76">
      <w:pPr>
        <w:tabs>
          <w:tab w:val="left" w:pos="8355"/>
        </w:tabs>
        <w:jc w:val="both"/>
        <w:rPr>
          <w:rFonts w:ascii="Times New Roman" w:hAnsi="Times New Roman" w:cs="Times New Roman"/>
          <w:bCs/>
        </w:rPr>
      </w:pPr>
    </w:p>
    <w:tbl>
      <w:tblPr>
        <w:tblStyle w:val="TableGrid"/>
        <w:tblpPr w:leftFromText="180" w:rightFromText="180" w:vertAnchor="text" w:horzAnchor="margin" w:tblpXSpec="center" w:tblpY="-15"/>
        <w:tblW w:w="14598" w:type="dxa"/>
        <w:tblLayout w:type="fixed"/>
        <w:tblLook w:val="04A0" w:firstRow="1" w:lastRow="0" w:firstColumn="1" w:lastColumn="0" w:noHBand="0" w:noVBand="1"/>
      </w:tblPr>
      <w:tblGrid>
        <w:gridCol w:w="1278"/>
        <w:gridCol w:w="1890"/>
        <w:gridCol w:w="1890"/>
        <w:gridCol w:w="1530"/>
        <w:gridCol w:w="1890"/>
        <w:gridCol w:w="1530"/>
        <w:gridCol w:w="1350"/>
        <w:gridCol w:w="1170"/>
        <w:gridCol w:w="1260"/>
        <w:gridCol w:w="810"/>
      </w:tblGrid>
      <w:tr w:rsidR="00016D76" w:rsidRPr="00764E99" w14:paraId="6E033BDD" w14:textId="77777777" w:rsidTr="00016D76">
        <w:trPr>
          <w:trHeight w:val="384"/>
        </w:trPr>
        <w:tc>
          <w:tcPr>
            <w:tcW w:w="1278" w:type="dxa"/>
            <w:vMerge w:val="restart"/>
            <w:shd w:val="clear" w:color="auto" w:fill="8EAADB" w:themeFill="accent1" w:themeFillTint="99"/>
            <w:vAlign w:val="center"/>
            <w:hideMark/>
          </w:tcPr>
          <w:p w14:paraId="2C260EBC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Hlk2789311"/>
            <w:r w:rsidRPr="001B7BA8">
              <w:rPr>
                <w:rFonts w:ascii="Times New Roman" w:hAnsi="Times New Roman" w:cs="Times New Roman"/>
                <w:b/>
                <w:sz w:val="20"/>
                <w:szCs w:val="20"/>
              </w:rPr>
              <w:t>First author, year</w:t>
            </w:r>
          </w:p>
        </w:tc>
        <w:tc>
          <w:tcPr>
            <w:tcW w:w="7200" w:type="dxa"/>
            <w:gridSpan w:val="4"/>
            <w:shd w:val="clear" w:color="auto" w:fill="8EAADB" w:themeFill="accent1" w:themeFillTint="99"/>
            <w:vAlign w:val="center"/>
            <w:hideMark/>
          </w:tcPr>
          <w:p w14:paraId="4B101E15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/>
                <w:sz w:val="20"/>
                <w:szCs w:val="20"/>
              </w:rPr>
              <w:t>Selection</w:t>
            </w:r>
          </w:p>
        </w:tc>
        <w:tc>
          <w:tcPr>
            <w:tcW w:w="1530" w:type="dxa"/>
            <w:vMerge w:val="restart"/>
            <w:shd w:val="clear" w:color="auto" w:fill="8EAADB" w:themeFill="accent1" w:themeFillTint="99"/>
            <w:vAlign w:val="center"/>
            <w:hideMark/>
          </w:tcPr>
          <w:p w14:paraId="445EF906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/>
                <w:sz w:val="20"/>
                <w:szCs w:val="20"/>
              </w:rPr>
              <w:t>Comparability</w:t>
            </w:r>
          </w:p>
        </w:tc>
        <w:tc>
          <w:tcPr>
            <w:tcW w:w="3780" w:type="dxa"/>
            <w:gridSpan w:val="3"/>
            <w:shd w:val="clear" w:color="auto" w:fill="8EAADB" w:themeFill="accent1" w:themeFillTint="99"/>
            <w:vAlign w:val="center"/>
            <w:hideMark/>
          </w:tcPr>
          <w:p w14:paraId="0A843C84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/>
                <w:sz w:val="20"/>
                <w:szCs w:val="20"/>
              </w:rPr>
              <w:t>Outcome</w:t>
            </w:r>
          </w:p>
        </w:tc>
        <w:tc>
          <w:tcPr>
            <w:tcW w:w="810" w:type="dxa"/>
            <w:vMerge w:val="restart"/>
            <w:shd w:val="clear" w:color="auto" w:fill="8EAADB" w:themeFill="accent1" w:themeFillTint="99"/>
            <w:noWrap/>
            <w:vAlign w:val="center"/>
            <w:hideMark/>
          </w:tcPr>
          <w:p w14:paraId="0E12458F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/>
                <w:sz w:val="20"/>
                <w:szCs w:val="20"/>
              </w:rPr>
              <w:t>Total score</w:t>
            </w:r>
          </w:p>
        </w:tc>
      </w:tr>
      <w:tr w:rsidR="00016D76" w:rsidRPr="00764E99" w14:paraId="10A653F9" w14:textId="77777777" w:rsidTr="00016D76">
        <w:trPr>
          <w:trHeight w:val="688"/>
        </w:trPr>
        <w:tc>
          <w:tcPr>
            <w:tcW w:w="1278" w:type="dxa"/>
            <w:vMerge/>
            <w:tcBorders>
              <w:bottom w:val="single" w:sz="4" w:space="0" w:color="000000" w:themeColor="text1"/>
            </w:tcBorders>
            <w:vAlign w:val="center"/>
            <w:hideMark/>
          </w:tcPr>
          <w:p w14:paraId="0D1C80FA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000000" w:themeColor="text1"/>
            </w:tcBorders>
            <w:shd w:val="clear" w:color="auto" w:fill="8EAADB" w:themeFill="accent1" w:themeFillTint="99"/>
            <w:vAlign w:val="center"/>
            <w:hideMark/>
          </w:tcPr>
          <w:p w14:paraId="198CBBAF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/>
                <w:sz w:val="20"/>
                <w:szCs w:val="20"/>
              </w:rPr>
              <w:t>Representativeness</w:t>
            </w:r>
          </w:p>
        </w:tc>
        <w:tc>
          <w:tcPr>
            <w:tcW w:w="1890" w:type="dxa"/>
            <w:tcBorders>
              <w:bottom w:val="single" w:sz="4" w:space="0" w:color="000000" w:themeColor="text1"/>
            </w:tcBorders>
            <w:shd w:val="clear" w:color="auto" w:fill="8EAADB" w:themeFill="accent1" w:themeFillTint="99"/>
            <w:vAlign w:val="center"/>
            <w:hideMark/>
          </w:tcPr>
          <w:p w14:paraId="4708D947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/>
                <w:sz w:val="20"/>
                <w:szCs w:val="20"/>
              </w:rPr>
              <w:t>Selection of the non-exposed cohort</w:t>
            </w:r>
          </w:p>
        </w:tc>
        <w:tc>
          <w:tcPr>
            <w:tcW w:w="1530" w:type="dxa"/>
            <w:tcBorders>
              <w:bottom w:val="single" w:sz="4" w:space="0" w:color="000000" w:themeColor="text1"/>
            </w:tcBorders>
            <w:shd w:val="clear" w:color="auto" w:fill="8EAADB" w:themeFill="accent1" w:themeFillTint="99"/>
            <w:vAlign w:val="center"/>
            <w:hideMark/>
          </w:tcPr>
          <w:p w14:paraId="3984552E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/>
                <w:sz w:val="20"/>
                <w:szCs w:val="20"/>
              </w:rPr>
              <w:t>Ascertainment</w:t>
            </w:r>
          </w:p>
        </w:tc>
        <w:tc>
          <w:tcPr>
            <w:tcW w:w="1890" w:type="dxa"/>
            <w:tcBorders>
              <w:bottom w:val="single" w:sz="4" w:space="0" w:color="000000" w:themeColor="text1"/>
            </w:tcBorders>
            <w:shd w:val="clear" w:color="auto" w:fill="8EAADB" w:themeFill="accent1" w:themeFillTint="99"/>
            <w:vAlign w:val="center"/>
            <w:hideMark/>
          </w:tcPr>
          <w:p w14:paraId="24C49E21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/>
                <w:sz w:val="20"/>
                <w:szCs w:val="20"/>
              </w:rPr>
              <w:t>Endpoint does not present at start</w:t>
            </w:r>
          </w:p>
        </w:tc>
        <w:tc>
          <w:tcPr>
            <w:tcW w:w="1530" w:type="dxa"/>
            <w:vMerge/>
            <w:tcBorders>
              <w:bottom w:val="single" w:sz="4" w:space="0" w:color="000000" w:themeColor="text1"/>
            </w:tcBorders>
            <w:vAlign w:val="center"/>
            <w:hideMark/>
          </w:tcPr>
          <w:p w14:paraId="25F3185B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000000" w:themeColor="text1"/>
            </w:tcBorders>
            <w:shd w:val="clear" w:color="auto" w:fill="8EAADB" w:themeFill="accent1" w:themeFillTint="99"/>
            <w:vAlign w:val="center"/>
            <w:hideMark/>
          </w:tcPr>
          <w:p w14:paraId="79FA0FA8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/>
                <w:sz w:val="20"/>
                <w:szCs w:val="20"/>
              </w:rPr>
              <w:t>Assessment of outcome</w:t>
            </w:r>
          </w:p>
        </w:tc>
        <w:tc>
          <w:tcPr>
            <w:tcW w:w="1170" w:type="dxa"/>
            <w:tcBorders>
              <w:bottom w:val="single" w:sz="4" w:space="0" w:color="000000" w:themeColor="text1"/>
            </w:tcBorders>
            <w:shd w:val="clear" w:color="auto" w:fill="8EAADB" w:themeFill="accent1" w:themeFillTint="99"/>
            <w:vAlign w:val="center"/>
            <w:hideMark/>
          </w:tcPr>
          <w:p w14:paraId="09378D81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/>
                <w:sz w:val="20"/>
                <w:szCs w:val="20"/>
              </w:rPr>
              <w:t>Follow-up duration</w:t>
            </w:r>
          </w:p>
        </w:tc>
        <w:tc>
          <w:tcPr>
            <w:tcW w:w="1260" w:type="dxa"/>
            <w:tcBorders>
              <w:bottom w:val="single" w:sz="4" w:space="0" w:color="000000" w:themeColor="text1"/>
            </w:tcBorders>
            <w:shd w:val="clear" w:color="auto" w:fill="8EAADB" w:themeFill="accent1" w:themeFillTint="99"/>
            <w:vAlign w:val="center"/>
            <w:hideMark/>
          </w:tcPr>
          <w:p w14:paraId="333C4FE0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/>
                <w:sz w:val="20"/>
                <w:szCs w:val="20"/>
              </w:rPr>
              <w:t>Adequacy follow-up</w:t>
            </w:r>
          </w:p>
        </w:tc>
        <w:tc>
          <w:tcPr>
            <w:tcW w:w="810" w:type="dxa"/>
            <w:vMerge/>
            <w:tcBorders>
              <w:bottom w:val="single" w:sz="4" w:space="0" w:color="000000" w:themeColor="text1"/>
            </w:tcBorders>
            <w:vAlign w:val="center"/>
            <w:hideMark/>
          </w:tcPr>
          <w:p w14:paraId="2BD11F31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016D76" w:rsidRPr="00764E99" w14:paraId="23941CBA" w14:textId="77777777" w:rsidTr="00016D76">
        <w:trPr>
          <w:trHeight w:val="247"/>
        </w:trPr>
        <w:tc>
          <w:tcPr>
            <w:tcW w:w="1278" w:type="dxa"/>
            <w:shd w:val="clear" w:color="auto" w:fill="F4B083" w:themeFill="accent2" w:themeFillTint="99"/>
            <w:hideMark/>
          </w:tcPr>
          <w:p w14:paraId="57F041A3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Conte, 2014</w:t>
            </w:r>
          </w:p>
        </w:tc>
        <w:tc>
          <w:tcPr>
            <w:tcW w:w="1890" w:type="dxa"/>
            <w:vAlign w:val="center"/>
            <w:hideMark/>
          </w:tcPr>
          <w:p w14:paraId="3712DD50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890" w:type="dxa"/>
            <w:vAlign w:val="center"/>
            <w:hideMark/>
          </w:tcPr>
          <w:p w14:paraId="69C10A65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530" w:type="dxa"/>
            <w:vAlign w:val="center"/>
            <w:hideMark/>
          </w:tcPr>
          <w:p w14:paraId="2DB8B7B5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890" w:type="dxa"/>
            <w:vAlign w:val="center"/>
            <w:hideMark/>
          </w:tcPr>
          <w:p w14:paraId="226C6DA0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530" w:type="dxa"/>
            <w:vAlign w:val="center"/>
            <w:hideMark/>
          </w:tcPr>
          <w:p w14:paraId="34B668EB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**</w:t>
            </w:r>
          </w:p>
        </w:tc>
        <w:tc>
          <w:tcPr>
            <w:tcW w:w="1350" w:type="dxa"/>
            <w:vAlign w:val="center"/>
            <w:hideMark/>
          </w:tcPr>
          <w:p w14:paraId="54E3D863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170" w:type="dxa"/>
            <w:vAlign w:val="center"/>
            <w:hideMark/>
          </w:tcPr>
          <w:p w14:paraId="43F11FB6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260" w:type="dxa"/>
            <w:vAlign w:val="center"/>
            <w:hideMark/>
          </w:tcPr>
          <w:p w14:paraId="145A697A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810" w:type="dxa"/>
            <w:noWrap/>
            <w:vAlign w:val="center"/>
            <w:hideMark/>
          </w:tcPr>
          <w:p w14:paraId="6B8D376C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</w:tr>
      <w:tr w:rsidR="00016D76" w:rsidRPr="00764E99" w14:paraId="1FE164A1" w14:textId="77777777" w:rsidTr="00016D76">
        <w:trPr>
          <w:trHeight w:val="235"/>
        </w:trPr>
        <w:tc>
          <w:tcPr>
            <w:tcW w:w="1278" w:type="dxa"/>
            <w:shd w:val="clear" w:color="auto" w:fill="F4B083" w:themeFill="accent2" w:themeFillTint="99"/>
            <w:noWrap/>
            <w:hideMark/>
          </w:tcPr>
          <w:p w14:paraId="041ED408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Gurses</w:t>
            </w:r>
            <w:proofErr w:type="spellEnd"/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, 2015</w:t>
            </w:r>
          </w:p>
        </w:tc>
        <w:tc>
          <w:tcPr>
            <w:tcW w:w="1890" w:type="dxa"/>
            <w:noWrap/>
            <w:vAlign w:val="center"/>
            <w:hideMark/>
          </w:tcPr>
          <w:p w14:paraId="2DB8DCD2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890" w:type="dxa"/>
            <w:noWrap/>
            <w:vAlign w:val="center"/>
            <w:hideMark/>
          </w:tcPr>
          <w:p w14:paraId="27FC3AAF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530" w:type="dxa"/>
            <w:noWrap/>
            <w:vAlign w:val="center"/>
            <w:hideMark/>
          </w:tcPr>
          <w:p w14:paraId="12640F9D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890" w:type="dxa"/>
            <w:noWrap/>
            <w:vAlign w:val="center"/>
            <w:hideMark/>
          </w:tcPr>
          <w:p w14:paraId="23B7AAD1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530" w:type="dxa"/>
            <w:noWrap/>
            <w:vAlign w:val="center"/>
            <w:hideMark/>
          </w:tcPr>
          <w:p w14:paraId="5820D0EB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**</w:t>
            </w:r>
          </w:p>
        </w:tc>
        <w:tc>
          <w:tcPr>
            <w:tcW w:w="1350" w:type="dxa"/>
            <w:noWrap/>
            <w:vAlign w:val="center"/>
            <w:hideMark/>
          </w:tcPr>
          <w:p w14:paraId="7DFB9BA9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170" w:type="dxa"/>
            <w:noWrap/>
            <w:vAlign w:val="center"/>
            <w:hideMark/>
          </w:tcPr>
          <w:p w14:paraId="388FAFDC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260" w:type="dxa"/>
            <w:noWrap/>
            <w:vAlign w:val="center"/>
            <w:hideMark/>
          </w:tcPr>
          <w:p w14:paraId="7B5A625C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810" w:type="dxa"/>
            <w:noWrap/>
            <w:vAlign w:val="center"/>
            <w:hideMark/>
          </w:tcPr>
          <w:p w14:paraId="557C62A6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</w:tr>
      <w:tr w:rsidR="00016D76" w:rsidRPr="00764E99" w14:paraId="48400DA7" w14:textId="77777777" w:rsidTr="00016D76">
        <w:trPr>
          <w:trHeight w:val="235"/>
        </w:trPr>
        <w:tc>
          <w:tcPr>
            <w:tcW w:w="1278" w:type="dxa"/>
            <w:shd w:val="clear" w:color="auto" w:fill="F4B083" w:themeFill="accent2" w:themeFillTint="99"/>
            <w:noWrap/>
            <w:hideMark/>
          </w:tcPr>
          <w:p w14:paraId="24DE44AA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Yasar, 2019</w:t>
            </w:r>
          </w:p>
        </w:tc>
        <w:tc>
          <w:tcPr>
            <w:tcW w:w="1890" w:type="dxa"/>
            <w:noWrap/>
            <w:vAlign w:val="center"/>
            <w:hideMark/>
          </w:tcPr>
          <w:p w14:paraId="7DFCEEDE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890" w:type="dxa"/>
            <w:noWrap/>
            <w:vAlign w:val="center"/>
            <w:hideMark/>
          </w:tcPr>
          <w:p w14:paraId="6B64B4EE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530" w:type="dxa"/>
            <w:noWrap/>
            <w:vAlign w:val="center"/>
            <w:hideMark/>
          </w:tcPr>
          <w:p w14:paraId="117DF916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890" w:type="dxa"/>
            <w:noWrap/>
            <w:vAlign w:val="center"/>
            <w:hideMark/>
          </w:tcPr>
          <w:p w14:paraId="28C986C1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530" w:type="dxa"/>
            <w:noWrap/>
            <w:vAlign w:val="center"/>
            <w:hideMark/>
          </w:tcPr>
          <w:p w14:paraId="564351B6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**</w:t>
            </w:r>
          </w:p>
        </w:tc>
        <w:tc>
          <w:tcPr>
            <w:tcW w:w="1350" w:type="dxa"/>
            <w:noWrap/>
            <w:vAlign w:val="center"/>
            <w:hideMark/>
          </w:tcPr>
          <w:p w14:paraId="6FA28469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170" w:type="dxa"/>
            <w:noWrap/>
            <w:vAlign w:val="center"/>
            <w:hideMark/>
          </w:tcPr>
          <w:p w14:paraId="48BEB36B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260" w:type="dxa"/>
            <w:noWrap/>
            <w:vAlign w:val="center"/>
            <w:hideMark/>
          </w:tcPr>
          <w:p w14:paraId="56F5F2B3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810" w:type="dxa"/>
            <w:noWrap/>
            <w:vAlign w:val="center"/>
            <w:hideMark/>
          </w:tcPr>
          <w:p w14:paraId="346CAD45" w14:textId="77777777" w:rsidR="00016D76" w:rsidRPr="001B7BA8" w:rsidRDefault="00016D76" w:rsidP="00016D76">
            <w:pPr>
              <w:tabs>
                <w:tab w:val="left" w:pos="8355"/>
              </w:tabs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7BA8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</w:tr>
    </w:tbl>
    <w:bookmarkEnd w:id="0"/>
    <w:p w14:paraId="0F949230" w14:textId="77777777" w:rsidR="00016D76" w:rsidRPr="00016D76" w:rsidRDefault="00016D76" w:rsidP="00B0566B">
      <w:pPr>
        <w:jc w:val="both"/>
        <w:rPr>
          <w:rFonts w:ascii="Times New Roman" w:hAnsi="Times New Roman" w:cs="Times New Roman"/>
          <w:color w:val="000000" w:themeColor="text1"/>
        </w:rPr>
      </w:pPr>
      <w:r w:rsidRPr="00016D76">
        <w:rPr>
          <w:rFonts w:ascii="Times New Roman" w:hAnsi="Times New Roman" w:cs="Times New Roman"/>
          <w:color w:val="000000" w:themeColor="text1"/>
        </w:rPr>
        <w:t xml:space="preserve">Studies’ quality was rated as good, fair, and poor by awarding stars in each domain.  A “good” quality score required 3 or 4 stars in the selection, 1 or 2 stars in comparability, and 2 or 3 stars in outcomes. A “fair” quality score required two stars in the selection, 1 or 2 stars in comparability, and 2 or 3 stars in outcomes. A “poor” quality score reflected 0 or 1 star(s) in selection, or 0 stars in comparability, or 0 or 1 star(s) in outcomes. </w:t>
      </w:r>
    </w:p>
    <w:p w14:paraId="562E5F93" w14:textId="77777777" w:rsidR="00016D76" w:rsidRPr="00016D76" w:rsidRDefault="00016D76">
      <w:pPr>
        <w:rPr>
          <w:rFonts w:ascii="Times New Roman" w:hAnsi="Times New Roman" w:cs="Times New Roman"/>
        </w:rPr>
      </w:pPr>
    </w:p>
    <w:sectPr w:rsidR="00016D76" w:rsidRPr="00016D76" w:rsidSect="00123D63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C6B03" w14:textId="77777777" w:rsidR="0075313D" w:rsidRDefault="0075313D" w:rsidP="00016D76">
      <w:r>
        <w:separator/>
      </w:r>
    </w:p>
  </w:endnote>
  <w:endnote w:type="continuationSeparator" w:id="0">
    <w:p w14:paraId="23B545DB" w14:textId="77777777" w:rsidR="0075313D" w:rsidRDefault="0075313D" w:rsidP="00016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82840520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E367B27" w14:textId="7A194697" w:rsidR="00016D76" w:rsidRDefault="00016D76" w:rsidP="0007625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E8F340C" w14:textId="77777777" w:rsidR="00016D76" w:rsidRDefault="00016D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657375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CA33273" w14:textId="41778ABD" w:rsidR="00016D76" w:rsidRDefault="00016D76" w:rsidP="00076254">
        <w:pPr>
          <w:pStyle w:val="Footer"/>
          <w:framePr w:wrap="none" w:vAnchor="text" w:hAnchor="margin" w:xAlign="center" w:y="1"/>
          <w:rPr>
            <w:rStyle w:val="PageNumber"/>
          </w:rPr>
        </w:pPr>
        <w:r w:rsidRPr="00016D76">
          <w:rPr>
            <w:rStyle w:val="PageNumber"/>
            <w:rFonts w:ascii="Times New Roman" w:hAnsi="Times New Roman" w:cs="Times New Roman"/>
          </w:rPr>
          <w:fldChar w:fldCharType="begin"/>
        </w:r>
        <w:r w:rsidRPr="00016D76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016D76">
          <w:rPr>
            <w:rStyle w:val="PageNumber"/>
            <w:rFonts w:ascii="Times New Roman" w:hAnsi="Times New Roman" w:cs="Times New Roman"/>
          </w:rPr>
          <w:fldChar w:fldCharType="separate"/>
        </w:r>
        <w:r w:rsidR="0002342B">
          <w:rPr>
            <w:rStyle w:val="PageNumber"/>
            <w:rFonts w:ascii="Times New Roman" w:hAnsi="Times New Roman" w:cs="Times New Roman"/>
            <w:noProof/>
          </w:rPr>
          <w:t>3</w:t>
        </w:r>
        <w:r w:rsidRPr="00016D76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2F435F2F" w14:textId="77777777" w:rsidR="00016D76" w:rsidRDefault="00016D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EB4D0" w14:textId="77777777" w:rsidR="0075313D" w:rsidRDefault="0075313D" w:rsidP="00016D76">
      <w:r>
        <w:separator/>
      </w:r>
    </w:p>
  </w:footnote>
  <w:footnote w:type="continuationSeparator" w:id="0">
    <w:p w14:paraId="34ED9DF6" w14:textId="77777777" w:rsidR="0075313D" w:rsidRDefault="0075313D" w:rsidP="00016D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D76"/>
    <w:rsid w:val="00004218"/>
    <w:rsid w:val="000138C6"/>
    <w:rsid w:val="00016D76"/>
    <w:rsid w:val="0002035B"/>
    <w:rsid w:val="0002342B"/>
    <w:rsid w:val="0003535B"/>
    <w:rsid w:val="000366A9"/>
    <w:rsid w:val="0004328B"/>
    <w:rsid w:val="00045B84"/>
    <w:rsid w:val="00056ED9"/>
    <w:rsid w:val="000760CF"/>
    <w:rsid w:val="00081BC7"/>
    <w:rsid w:val="000833ED"/>
    <w:rsid w:val="000864CF"/>
    <w:rsid w:val="000875CB"/>
    <w:rsid w:val="00097A23"/>
    <w:rsid w:val="000A0565"/>
    <w:rsid w:val="000C7B54"/>
    <w:rsid w:val="000D22F7"/>
    <w:rsid w:val="000E6FD8"/>
    <w:rsid w:val="00105CA6"/>
    <w:rsid w:val="00107891"/>
    <w:rsid w:val="00110F1A"/>
    <w:rsid w:val="00110F22"/>
    <w:rsid w:val="00123D63"/>
    <w:rsid w:val="00140D2F"/>
    <w:rsid w:val="0015205C"/>
    <w:rsid w:val="00152780"/>
    <w:rsid w:val="00155C0E"/>
    <w:rsid w:val="001665CC"/>
    <w:rsid w:val="00170396"/>
    <w:rsid w:val="00180534"/>
    <w:rsid w:val="00180FEB"/>
    <w:rsid w:val="00190882"/>
    <w:rsid w:val="00195B1C"/>
    <w:rsid w:val="00196802"/>
    <w:rsid w:val="001A1657"/>
    <w:rsid w:val="001A73E2"/>
    <w:rsid w:val="001B114A"/>
    <w:rsid w:val="001B461B"/>
    <w:rsid w:val="001B7CA1"/>
    <w:rsid w:val="001D241E"/>
    <w:rsid w:val="001D4E8D"/>
    <w:rsid w:val="001F1A78"/>
    <w:rsid w:val="002111F1"/>
    <w:rsid w:val="00212070"/>
    <w:rsid w:val="00212312"/>
    <w:rsid w:val="00212CEA"/>
    <w:rsid w:val="00215319"/>
    <w:rsid w:val="00215457"/>
    <w:rsid w:val="00225261"/>
    <w:rsid w:val="002274A1"/>
    <w:rsid w:val="00236A5A"/>
    <w:rsid w:val="00240072"/>
    <w:rsid w:val="002574D8"/>
    <w:rsid w:val="00281CD9"/>
    <w:rsid w:val="002908D1"/>
    <w:rsid w:val="00293BFF"/>
    <w:rsid w:val="00297750"/>
    <w:rsid w:val="002A7CDA"/>
    <w:rsid w:val="002C0CD6"/>
    <w:rsid w:val="0032384D"/>
    <w:rsid w:val="00324873"/>
    <w:rsid w:val="00327815"/>
    <w:rsid w:val="00333319"/>
    <w:rsid w:val="00350D75"/>
    <w:rsid w:val="00357465"/>
    <w:rsid w:val="0036779E"/>
    <w:rsid w:val="00377E83"/>
    <w:rsid w:val="00392243"/>
    <w:rsid w:val="003A5C08"/>
    <w:rsid w:val="003B2755"/>
    <w:rsid w:val="003B2B7A"/>
    <w:rsid w:val="003B6527"/>
    <w:rsid w:val="003C05E8"/>
    <w:rsid w:val="003C1B3C"/>
    <w:rsid w:val="003C4490"/>
    <w:rsid w:val="003D5C19"/>
    <w:rsid w:val="003F392E"/>
    <w:rsid w:val="00407681"/>
    <w:rsid w:val="00410FF9"/>
    <w:rsid w:val="004129B6"/>
    <w:rsid w:val="00414DCB"/>
    <w:rsid w:val="00425A8A"/>
    <w:rsid w:val="0043635F"/>
    <w:rsid w:val="00442B1D"/>
    <w:rsid w:val="00453CED"/>
    <w:rsid w:val="00456082"/>
    <w:rsid w:val="00484EAB"/>
    <w:rsid w:val="00485956"/>
    <w:rsid w:val="004932BF"/>
    <w:rsid w:val="0049617B"/>
    <w:rsid w:val="004964E2"/>
    <w:rsid w:val="004A0434"/>
    <w:rsid w:val="004B3BAA"/>
    <w:rsid w:val="004D1363"/>
    <w:rsid w:val="004E5B91"/>
    <w:rsid w:val="005042DE"/>
    <w:rsid w:val="0050791B"/>
    <w:rsid w:val="00507B6A"/>
    <w:rsid w:val="00510A72"/>
    <w:rsid w:val="00510BF4"/>
    <w:rsid w:val="00513E5A"/>
    <w:rsid w:val="00515172"/>
    <w:rsid w:val="00523588"/>
    <w:rsid w:val="00534080"/>
    <w:rsid w:val="00537D77"/>
    <w:rsid w:val="0054319F"/>
    <w:rsid w:val="00545CDA"/>
    <w:rsid w:val="00545E6A"/>
    <w:rsid w:val="00546A1F"/>
    <w:rsid w:val="00553694"/>
    <w:rsid w:val="005547A6"/>
    <w:rsid w:val="005575B7"/>
    <w:rsid w:val="00565561"/>
    <w:rsid w:val="005742A5"/>
    <w:rsid w:val="005853D6"/>
    <w:rsid w:val="005855A1"/>
    <w:rsid w:val="005A2793"/>
    <w:rsid w:val="005C18D2"/>
    <w:rsid w:val="005E0689"/>
    <w:rsid w:val="005E1DA2"/>
    <w:rsid w:val="0060422B"/>
    <w:rsid w:val="00604241"/>
    <w:rsid w:val="00612567"/>
    <w:rsid w:val="0061439E"/>
    <w:rsid w:val="00616E50"/>
    <w:rsid w:val="00617582"/>
    <w:rsid w:val="0062277F"/>
    <w:rsid w:val="00631D0F"/>
    <w:rsid w:val="00636D4A"/>
    <w:rsid w:val="0064091F"/>
    <w:rsid w:val="006534A7"/>
    <w:rsid w:val="00657D56"/>
    <w:rsid w:val="0066515D"/>
    <w:rsid w:val="00672003"/>
    <w:rsid w:val="00677064"/>
    <w:rsid w:val="0068511F"/>
    <w:rsid w:val="00685CD7"/>
    <w:rsid w:val="006A4428"/>
    <w:rsid w:val="006A4E94"/>
    <w:rsid w:val="006B5FDB"/>
    <w:rsid w:val="006D4F4D"/>
    <w:rsid w:val="006E1F63"/>
    <w:rsid w:val="006F0BB5"/>
    <w:rsid w:val="006F14F5"/>
    <w:rsid w:val="00715D8D"/>
    <w:rsid w:val="007476DC"/>
    <w:rsid w:val="007505DC"/>
    <w:rsid w:val="0075313D"/>
    <w:rsid w:val="00760B47"/>
    <w:rsid w:val="00764B19"/>
    <w:rsid w:val="00787840"/>
    <w:rsid w:val="00793F68"/>
    <w:rsid w:val="007B08C9"/>
    <w:rsid w:val="007B29B6"/>
    <w:rsid w:val="007B2D71"/>
    <w:rsid w:val="007B3972"/>
    <w:rsid w:val="007B71DC"/>
    <w:rsid w:val="007B7E9E"/>
    <w:rsid w:val="007C1452"/>
    <w:rsid w:val="007C6741"/>
    <w:rsid w:val="007D78D3"/>
    <w:rsid w:val="007E0FE2"/>
    <w:rsid w:val="007E14BE"/>
    <w:rsid w:val="007F31BF"/>
    <w:rsid w:val="007F783F"/>
    <w:rsid w:val="008507D3"/>
    <w:rsid w:val="00856BF2"/>
    <w:rsid w:val="00862603"/>
    <w:rsid w:val="00862C21"/>
    <w:rsid w:val="00870E98"/>
    <w:rsid w:val="00881CE2"/>
    <w:rsid w:val="00887903"/>
    <w:rsid w:val="008913A1"/>
    <w:rsid w:val="00894413"/>
    <w:rsid w:val="008A5567"/>
    <w:rsid w:val="008C44E7"/>
    <w:rsid w:val="008C78EB"/>
    <w:rsid w:val="008F399C"/>
    <w:rsid w:val="0090172C"/>
    <w:rsid w:val="00901A8D"/>
    <w:rsid w:val="00905F1A"/>
    <w:rsid w:val="00912649"/>
    <w:rsid w:val="0093168A"/>
    <w:rsid w:val="00942DD2"/>
    <w:rsid w:val="00953EE1"/>
    <w:rsid w:val="00954BEB"/>
    <w:rsid w:val="00985FE1"/>
    <w:rsid w:val="0099130C"/>
    <w:rsid w:val="009C0D2E"/>
    <w:rsid w:val="009C470B"/>
    <w:rsid w:val="009D6EA6"/>
    <w:rsid w:val="009E0E39"/>
    <w:rsid w:val="009F44B6"/>
    <w:rsid w:val="00A13768"/>
    <w:rsid w:val="00A31151"/>
    <w:rsid w:val="00A40C32"/>
    <w:rsid w:val="00A526E5"/>
    <w:rsid w:val="00A6169C"/>
    <w:rsid w:val="00A75D0F"/>
    <w:rsid w:val="00AA7497"/>
    <w:rsid w:val="00AD34F8"/>
    <w:rsid w:val="00AD4EDA"/>
    <w:rsid w:val="00AE03B9"/>
    <w:rsid w:val="00AF1D23"/>
    <w:rsid w:val="00B0566B"/>
    <w:rsid w:val="00B10A48"/>
    <w:rsid w:val="00B14747"/>
    <w:rsid w:val="00B2711F"/>
    <w:rsid w:val="00B3339F"/>
    <w:rsid w:val="00B41028"/>
    <w:rsid w:val="00B45112"/>
    <w:rsid w:val="00B618A0"/>
    <w:rsid w:val="00B73B60"/>
    <w:rsid w:val="00B76D31"/>
    <w:rsid w:val="00B820A0"/>
    <w:rsid w:val="00B83C78"/>
    <w:rsid w:val="00B9616B"/>
    <w:rsid w:val="00BA2B32"/>
    <w:rsid w:val="00BA3DB3"/>
    <w:rsid w:val="00BE1547"/>
    <w:rsid w:val="00BE30E9"/>
    <w:rsid w:val="00BF3A48"/>
    <w:rsid w:val="00BF6893"/>
    <w:rsid w:val="00BF6AFA"/>
    <w:rsid w:val="00C03E0F"/>
    <w:rsid w:val="00C26F0B"/>
    <w:rsid w:val="00C30618"/>
    <w:rsid w:val="00C3485A"/>
    <w:rsid w:val="00C436FA"/>
    <w:rsid w:val="00C647CE"/>
    <w:rsid w:val="00C7337C"/>
    <w:rsid w:val="00C8585A"/>
    <w:rsid w:val="00CA7DDA"/>
    <w:rsid w:val="00CB1731"/>
    <w:rsid w:val="00CB2D50"/>
    <w:rsid w:val="00CC606B"/>
    <w:rsid w:val="00CF413D"/>
    <w:rsid w:val="00D01BD2"/>
    <w:rsid w:val="00D02CF2"/>
    <w:rsid w:val="00D03621"/>
    <w:rsid w:val="00D115C7"/>
    <w:rsid w:val="00D4194A"/>
    <w:rsid w:val="00D420B8"/>
    <w:rsid w:val="00D472BF"/>
    <w:rsid w:val="00D56A95"/>
    <w:rsid w:val="00D649C7"/>
    <w:rsid w:val="00D80E86"/>
    <w:rsid w:val="00D81664"/>
    <w:rsid w:val="00D91854"/>
    <w:rsid w:val="00D94649"/>
    <w:rsid w:val="00DC545D"/>
    <w:rsid w:val="00DC7BB9"/>
    <w:rsid w:val="00DE0A61"/>
    <w:rsid w:val="00DF20E1"/>
    <w:rsid w:val="00E012A9"/>
    <w:rsid w:val="00E052A6"/>
    <w:rsid w:val="00E07D68"/>
    <w:rsid w:val="00E13EAD"/>
    <w:rsid w:val="00E167DE"/>
    <w:rsid w:val="00E2722D"/>
    <w:rsid w:val="00E407F2"/>
    <w:rsid w:val="00E743B4"/>
    <w:rsid w:val="00E92717"/>
    <w:rsid w:val="00E92AAB"/>
    <w:rsid w:val="00E93C95"/>
    <w:rsid w:val="00EA77A0"/>
    <w:rsid w:val="00EB4ED7"/>
    <w:rsid w:val="00EC1D92"/>
    <w:rsid w:val="00EC7DD1"/>
    <w:rsid w:val="00ED095D"/>
    <w:rsid w:val="00ED4959"/>
    <w:rsid w:val="00ED5DCE"/>
    <w:rsid w:val="00EF18CC"/>
    <w:rsid w:val="00F008F2"/>
    <w:rsid w:val="00F24380"/>
    <w:rsid w:val="00F361FA"/>
    <w:rsid w:val="00F37F03"/>
    <w:rsid w:val="00F458AA"/>
    <w:rsid w:val="00F4778D"/>
    <w:rsid w:val="00F563FE"/>
    <w:rsid w:val="00F71D3E"/>
    <w:rsid w:val="00F74C4F"/>
    <w:rsid w:val="00F81C8A"/>
    <w:rsid w:val="00F823CD"/>
    <w:rsid w:val="00F831A4"/>
    <w:rsid w:val="00F90267"/>
    <w:rsid w:val="00F92BDE"/>
    <w:rsid w:val="00FA5156"/>
    <w:rsid w:val="00FB1E3B"/>
    <w:rsid w:val="00FC4E56"/>
    <w:rsid w:val="00FC6FA8"/>
    <w:rsid w:val="00FD03BE"/>
    <w:rsid w:val="00FD1BB2"/>
    <w:rsid w:val="00FD5CA5"/>
    <w:rsid w:val="00FE659C"/>
    <w:rsid w:val="00FF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362B2"/>
  <w15:chartTrackingRefBased/>
  <w15:docId w15:val="{7B0A28AC-14CB-594B-BD59-526B13CBE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016D7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16D76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n-CA" w:eastAsia="en-CA"/>
    </w:rPr>
  </w:style>
  <w:style w:type="table" w:styleId="TableGrid">
    <w:name w:val="Table Grid"/>
    <w:basedOn w:val="TableNormal"/>
    <w:uiPriority w:val="59"/>
    <w:rsid w:val="00016D76"/>
    <w:rPr>
      <w:rFonts w:ascii="Calibri" w:eastAsia="Calibri" w:hAnsi="Calibri" w:cs="Cordia New"/>
      <w:sz w:val="22"/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16D76"/>
    <w:rPr>
      <w:rFonts w:ascii="Calibri" w:eastAsia="Calibri" w:hAnsi="Calibri" w:cs="Cordia New"/>
      <w:sz w:val="22"/>
      <w:szCs w:val="28"/>
      <w:lang w:bidi="th-TH"/>
    </w:rPr>
  </w:style>
  <w:style w:type="paragraph" w:styleId="Header">
    <w:name w:val="header"/>
    <w:basedOn w:val="Normal"/>
    <w:link w:val="HeaderChar"/>
    <w:uiPriority w:val="99"/>
    <w:unhideWhenUsed/>
    <w:rsid w:val="0001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6D76"/>
  </w:style>
  <w:style w:type="paragraph" w:styleId="Footer">
    <w:name w:val="footer"/>
    <w:basedOn w:val="Normal"/>
    <w:link w:val="FooterChar"/>
    <w:uiPriority w:val="99"/>
    <w:unhideWhenUsed/>
    <w:rsid w:val="0001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6D76"/>
  </w:style>
  <w:style w:type="character" w:styleId="PageNumber">
    <w:name w:val="page number"/>
    <w:basedOn w:val="DefaultParagraphFont"/>
    <w:uiPriority w:val="99"/>
    <w:semiHidden/>
    <w:unhideWhenUsed/>
    <w:rsid w:val="00016D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Jalaj Garg</dc:creator>
  <cp:keywords/>
  <dc:description/>
  <cp:lastModifiedBy>Iris</cp:lastModifiedBy>
  <cp:revision>18</cp:revision>
  <dcterms:created xsi:type="dcterms:W3CDTF">2021-11-20T23:07:00Z</dcterms:created>
  <dcterms:modified xsi:type="dcterms:W3CDTF">2022-01-24T02:17:00Z</dcterms:modified>
</cp:coreProperties>
</file>